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14" w:rsidRPr="0030012C" w:rsidRDefault="008271D4">
      <w:pPr>
        <w:rPr>
          <w:rFonts w:ascii="Arial" w:hAnsi="Arial" w:cs="Arial"/>
          <w:b/>
          <w:sz w:val="24"/>
          <w:szCs w:val="24"/>
          <w:u w:val="single"/>
        </w:rPr>
      </w:pPr>
      <w:r w:rsidRPr="0030012C">
        <w:rPr>
          <w:rFonts w:ascii="Arial" w:hAnsi="Arial" w:cs="Arial"/>
          <w:b/>
          <w:sz w:val="24"/>
          <w:szCs w:val="24"/>
          <w:u w:val="single"/>
        </w:rPr>
        <w:t xml:space="preserve">Attachment </w:t>
      </w:r>
      <w:r w:rsidR="00D4690E">
        <w:rPr>
          <w:rFonts w:ascii="Arial" w:hAnsi="Arial" w:cs="Arial"/>
          <w:b/>
          <w:sz w:val="24"/>
          <w:szCs w:val="24"/>
          <w:u w:val="single"/>
        </w:rPr>
        <w:t>1</w:t>
      </w:r>
    </w:p>
    <w:p w:rsidR="008271D4" w:rsidRPr="008271D4" w:rsidRDefault="008271D4" w:rsidP="008271D4">
      <w:pPr>
        <w:rPr>
          <w:rFonts w:ascii="Arial" w:hAnsi="Arial" w:cs="Arial"/>
          <w:b/>
          <w:u w:val="single"/>
        </w:rPr>
      </w:pPr>
      <w:r w:rsidRPr="007D4F8C">
        <w:rPr>
          <w:rFonts w:ascii="Arial" w:hAnsi="Arial" w:cs="Arial"/>
          <w:sz w:val="24"/>
          <w:szCs w:val="24"/>
        </w:rPr>
        <w:t>Smithsonian museums, mission-enabling units, research centers, and outreach/service-providing units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71D4" w:rsidRDefault="008271D4"/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Anacostia Community Museum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Archives of American Art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Asian Pacific American Center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 for Folklife and</w:t>
      </w:r>
      <w:r w:rsidRPr="00A1659F">
        <w:rPr>
          <w:rFonts w:ascii="Arial" w:hAnsi="Arial" w:cs="Arial"/>
          <w:sz w:val="24"/>
          <w:szCs w:val="24"/>
        </w:rPr>
        <w:t xml:space="preserve"> Cultural Heritage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Cooper Hewitt, Smithsonian Design Museum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A1659F">
        <w:rPr>
          <w:rFonts w:ascii="Arial" w:hAnsi="Arial" w:cs="Arial"/>
          <w:sz w:val="24"/>
          <w:szCs w:val="24"/>
        </w:rPr>
        <w:t>Freer|Sackler</w:t>
      </w:r>
      <w:proofErr w:type="spellEnd"/>
      <w:r w:rsidRPr="00A1659F">
        <w:rPr>
          <w:rFonts w:ascii="Arial" w:hAnsi="Arial" w:cs="Arial"/>
          <w:sz w:val="24"/>
          <w:szCs w:val="24"/>
        </w:rPr>
        <w:t xml:space="preserve"> Galleries of Art </w:t>
      </w:r>
      <w:bookmarkStart w:id="0" w:name="_GoBack"/>
      <w:bookmarkEnd w:id="0"/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Hirshhorn Museum and</w:t>
      </w:r>
      <w:r w:rsidRPr="00A1659F">
        <w:rPr>
          <w:rFonts w:ascii="Arial" w:hAnsi="Arial" w:cs="Arial"/>
          <w:sz w:val="24"/>
          <w:szCs w:val="24"/>
        </w:rPr>
        <w:t xml:space="preserve"> Sculpture Garden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Air and</w:t>
      </w:r>
      <w:r w:rsidRPr="00A1659F">
        <w:rPr>
          <w:rFonts w:ascii="Arial" w:hAnsi="Arial" w:cs="Arial"/>
          <w:sz w:val="24"/>
          <w:szCs w:val="24"/>
        </w:rPr>
        <w:t xml:space="preserve"> Space Museum National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>Museum of African Art National Muse</w:t>
      </w:r>
      <w:r>
        <w:rPr>
          <w:rFonts w:ascii="Arial" w:hAnsi="Arial" w:cs="Arial"/>
          <w:sz w:val="24"/>
          <w:szCs w:val="24"/>
        </w:rPr>
        <w:t>um of African American History and</w:t>
      </w:r>
      <w:r w:rsidRPr="00A1659F">
        <w:rPr>
          <w:rFonts w:ascii="Arial" w:hAnsi="Arial" w:cs="Arial"/>
          <w:sz w:val="24"/>
          <w:szCs w:val="24"/>
        </w:rPr>
        <w:t xml:space="preserve"> Culture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National Museum of American History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National Museum of Natural History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National Museum of the American Indian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National Portrait Gallery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National Postal Museum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>National Zoological Park</w:t>
      </w:r>
      <w:r>
        <w:rPr>
          <w:rFonts w:ascii="Arial" w:hAnsi="Arial" w:cs="Arial"/>
          <w:sz w:val="24"/>
          <w:szCs w:val="24"/>
        </w:rPr>
        <w:t xml:space="preserve"> (includes Smithsonian Conservation Biology Institute)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Smithsonian American Art Museum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>Smithsonian Astrophysical Observatory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Smithsonian Center for Learning and Digital Access</w:t>
      </w:r>
      <w:r w:rsidRPr="00A1659F">
        <w:rPr>
          <w:rFonts w:ascii="Arial" w:hAnsi="Arial" w:cs="Arial"/>
          <w:sz w:val="24"/>
          <w:szCs w:val="24"/>
        </w:rPr>
        <w:t xml:space="preserve">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>Smithsonian Environmental Research Center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>Smithsonian Institution Archives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Smithsonian Institution Traveling Exhibition Service</w:t>
      </w:r>
      <w:r w:rsidRPr="00A1659F">
        <w:rPr>
          <w:rFonts w:ascii="Arial" w:hAnsi="Arial" w:cs="Arial"/>
          <w:sz w:val="24"/>
          <w:szCs w:val="24"/>
        </w:rPr>
        <w:t xml:space="preserve">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 xml:space="preserve">Smithsonian Latino Center 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659F">
        <w:rPr>
          <w:rFonts w:ascii="Arial" w:hAnsi="Arial" w:cs="Arial"/>
          <w:sz w:val="24"/>
          <w:szCs w:val="24"/>
        </w:rPr>
        <w:t>Smithsonian Libraries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the Secretary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Advancement</w:t>
      </w:r>
    </w:p>
    <w:p w:rsidR="008271D4" w:rsidRDefault="008271D4" w:rsidP="00827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Fellowships and Internships</w:t>
      </w:r>
    </w:p>
    <w:p w:rsidR="008271D4" w:rsidRDefault="008271D4" w:rsidP="008271D4">
      <w:pPr>
        <w:spacing w:after="0"/>
        <w:rPr>
          <w:rFonts w:ascii="Arial" w:hAnsi="Arial" w:cs="Arial"/>
          <w:sz w:val="24"/>
          <w:szCs w:val="24"/>
        </w:rPr>
      </w:pPr>
    </w:p>
    <w:p w:rsidR="008271D4" w:rsidRDefault="008271D4" w:rsidP="008271D4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C3501">
        <w:rPr>
          <w:rFonts w:ascii="Arial" w:hAnsi="Arial" w:cs="Arial"/>
          <w:sz w:val="24"/>
          <w:szCs w:val="24"/>
        </w:rPr>
        <w:t xml:space="preserve">Note: </w:t>
      </w:r>
      <w:r w:rsidRPr="00DC3501">
        <w:rPr>
          <w:rFonts w:ascii="Arial" w:hAnsi="Arial" w:cs="Arial"/>
          <w:sz w:val="24"/>
          <w:szCs w:val="24"/>
        </w:rPr>
        <w:tab/>
        <w:t>The Smithsonian Tropical Research Institute</w:t>
      </w:r>
      <w:r>
        <w:rPr>
          <w:rFonts w:ascii="Arial" w:hAnsi="Arial" w:cs="Arial"/>
          <w:sz w:val="24"/>
          <w:szCs w:val="24"/>
        </w:rPr>
        <w:t xml:space="preserve"> (STRI) is based in Panamá, managing 12 facilities throughout the country.</w:t>
      </w:r>
      <w:r w:rsidRPr="00DC3501">
        <w:rPr>
          <w:rFonts w:ascii="Arial" w:hAnsi="Arial" w:cs="Arial"/>
          <w:sz w:val="24"/>
          <w:szCs w:val="24"/>
        </w:rPr>
        <w:t xml:space="preserve"> Founded in 1910, </w:t>
      </w:r>
      <w:r>
        <w:rPr>
          <w:rFonts w:ascii="Arial" w:hAnsi="Arial" w:cs="Arial"/>
          <w:sz w:val="24"/>
          <w:szCs w:val="24"/>
        </w:rPr>
        <w:t xml:space="preserve">STRI increases and shares knowledge </w:t>
      </w:r>
      <w:r w:rsidRPr="00DC3501">
        <w:rPr>
          <w:rFonts w:ascii="Arial" w:hAnsi="Arial" w:cs="Arial"/>
          <w:color w:val="000000"/>
          <w:sz w:val="24"/>
          <w:szCs w:val="24"/>
        </w:rPr>
        <w:t xml:space="preserve">about the past, present and future of tropical ecosystems and their relevance to human welfare. </w:t>
      </w:r>
      <w:r>
        <w:rPr>
          <w:rFonts w:ascii="Arial" w:hAnsi="Arial" w:cs="Arial"/>
          <w:color w:val="000000"/>
          <w:sz w:val="24"/>
          <w:szCs w:val="24"/>
        </w:rPr>
        <w:t xml:space="preserve">STRI employs 40 staff scientists and welcomes over 1,400 scientific visitors annually. It supports 350 running research projects and publishes 400 peer-reviewed articles in scientific journals every year. </w:t>
      </w:r>
      <w:r w:rsidRPr="00DC3501">
        <w:rPr>
          <w:rFonts w:ascii="Arial" w:hAnsi="Arial" w:cs="Arial"/>
          <w:sz w:val="24"/>
          <w:szCs w:val="24"/>
        </w:rPr>
        <w:t>Due to its location</w:t>
      </w:r>
      <w:r>
        <w:rPr>
          <w:rFonts w:ascii="Arial" w:hAnsi="Arial" w:cs="Arial"/>
          <w:sz w:val="24"/>
          <w:szCs w:val="24"/>
        </w:rPr>
        <w:t xml:space="preserve"> in Latin America</w:t>
      </w:r>
      <w:r w:rsidRPr="00DC35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STRI’s </w:t>
      </w:r>
      <w:r w:rsidRPr="00DC3501">
        <w:rPr>
          <w:rFonts w:ascii="Arial" w:hAnsi="Arial" w:cs="Arial"/>
          <w:sz w:val="24"/>
          <w:szCs w:val="24"/>
        </w:rPr>
        <w:t>employment</w:t>
      </w:r>
      <w:r>
        <w:rPr>
          <w:rFonts w:ascii="Arial" w:hAnsi="Arial" w:cs="Arial"/>
          <w:sz w:val="24"/>
          <w:szCs w:val="24"/>
        </w:rPr>
        <w:t xml:space="preserve"> data is not included in this report.</w:t>
      </w:r>
      <w:r w:rsidDel="005E0357">
        <w:rPr>
          <w:rFonts w:ascii="Arial" w:hAnsi="Arial" w:cs="Arial"/>
          <w:sz w:val="24"/>
          <w:szCs w:val="24"/>
        </w:rPr>
        <w:t xml:space="preserve"> </w:t>
      </w:r>
    </w:p>
    <w:p w:rsidR="008271D4" w:rsidRDefault="008271D4"/>
    <w:sectPr w:rsidR="0082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EAA"/>
    <w:multiLevelType w:val="hybridMultilevel"/>
    <w:tmpl w:val="DC2A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2"/>
    <w:rsid w:val="00200446"/>
    <w:rsid w:val="0030012C"/>
    <w:rsid w:val="00364E14"/>
    <w:rsid w:val="0045420B"/>
    <w:rsid w:val="006A4356"/>
    <w:rsid w:val="008271D4"/>
    <w:rsid w:val="00CB7902"/>
    <w:rsid w:val="00D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A593"/>
  <w15:chartTrackingRefBased/>
  <w15:docId w15:val="{78F990C0-0C46-4D43-824E-9F56A549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Carolyn</dc:creator>
  <cp:keywords/>
  <dc:description/>
  <cp:lastModifiedBy>Haberacker, Becky</cp:lastModifiedBy>
  <cp:revision>7</cp:revision>
  <dcterms:created xsi:type="dcterms:W3CDTF">2018-09-07T23:46:00Z</dcterms:created>
  <dcterms:modified xsi:type="dcterms:W3CDTF">2018-09-08T00:59:00Z</dcterms:modified>
</cp:coreProperties>
</file>